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43" w:rsidRDefault="009D5C43">
      <w:pPr>
        <w:pStyle w:val="ConsPlusNormal"/>
        <w:jc w:val="both"/>
      </w:pPr>
      <w:bookmarkStart w:id="0" w:name="_GoBack"/>
      <w:bookmarkEnd w:id="0"/>
    </w:p>
    <w:p w:rsidR="009D5C43" w:rsidRDefault="009D5C43">
      <w:pPr>
        <w:pStyle w:val="ConsPlusTitle"/>
        <w:jc w:val="center"/>
      </w:pPr>
      <w:r>
        <w:t>ЦЕНТРАЛЬНЫЙ БАНК РОССИЙСКОЙ ФЕДЕРАЦИИ</w:t>
      </w:r>
    </w:p>
    <w:p w:rsidR="009D5C43" w:rsidRDefault="009D5C43">
      <w:pPr>
        <w:pStyle w:val="ConsPlusTitle"/>
        <w:jc w:val="center"/>
      </w:pPr>
    </w:p>
    <w:p w:rsidR="009D5C43" w:rsidRDefault="009D5C43">
      <w:pPr>
        <w:pStyle w:val="ConsPlusTitle"/>
        <w:jc w:val="center"/>
      </w:pPr>
      <w:r>
        <w:t>УКАЗАНИЕ</w:t>
      </w:r>
    </w:p>
    <w:p w:rsidR="009D5C43" w:rsidRDefault="009D5C43">
      <w:pPr>
        <w:pStyle w:val="ConsPlusTitle"/>
        <w:jc w:val="center"/>
      </w:pPr>
      <w:r>
        <w:t>от 5 декабря 2014 г. N 3471-У</w:t>
      </w:r>
    </w:p>
    <w:p w:rsidR="009D5C43" w:rsidRDefault="009D5C43">
      <w:pPr>
        <w:pStyle w:val="ConsPlusTitle"/>
        <w:jc w:val="center"/>
      </w:pPr>
    </w:p>
    <w:p w:rsidR="009D5C43" w:rsidRDefault="009D5C43">
      <w:pPr>
        <w:pStyle w:val="ConsPlusTitle"/>
        <w:jc w:val="center"/>
      </w:pPr>
      <w:r>
        <w:t>О ТРЕБОВАНИЯХ</w:t>
      </w:r>
    </w:p>
    <w:p w:rsidR="009D5C43" w:rsidRDefault="009D5C43">
      <w:pPr>
        <w:pStyle w:val="ConsPlusTitle"/>
        <w:jc w:val="center"/>
      </w:pPr>
      <w:r>
        <w:t>К ПОДГОТОВКЕ И ОБУЧЕНИЮ КАДРОВ В НЕКРЕДИТНЫХ</w:t>
      </w:r>
    </w:p>
    <w:p w:rsidR="009D5C43" w:rsidRDefault="009D5C43">
      <w:pPr>
        <w:pStyle w:val="ConsPlusTitle"/>
        <w:jc w:val="center"/>
      </w:pPr>
      <w:r>
        <w:t>ФИНАНСОВЫХ ОРГАНИЗАЦИЯХ</w:t>
      </w:r>
    </w:p>
    <w:p w:rsidR="009D5C43" w:rsidRDefault="009D5C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5C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5C43" w:rsidRDefault="009D5C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5C43" w:rsidRDefault="009D5C43">
            <w:pPr>
              <w:pStyle w:val="ConsPlusNormal"/>
              <w:jc w:val="center"/>
            </w:pPr>
            <w:r>
              <w:rPr>
                <w:color w:val="392C69"/>
              </w:rPr>
              <w:t>(в ред. Указания Банка России от 24.12.2019 N 5372-У)</w:t>
            </w:r>
          </w:p>
        </w:tc>
      </w:tr>
    </w:tbl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ind w:firstLine="540"/>
        <w:jc w:val="both"/>
      </w:pPr>
      <w:r>
        <w:t>На основании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30, ст. 3029; N 44, ст. 4296; 2004, N 31, ст. 3224; 2005, N 47, ст. 4828; 2006, N 31, ст. 3446, ст. 3452; 2007, N 16, ст. 1831; N 31, ст. 3993, ст. 4011; N 49, ст. 6036; 2009, N 23, ст. 2776; N 29, ст. 3600; 2010, N 28, ст. 3553; N 30, ст. 4007; N 31, ст. 4166; 2011, N 27, ст. 3873; N 46, ст. 6406; 2012, N 30, ст. 4172; N 50, ст. 6954; 2013, N 19, ст. 2329; N 26, ст. 3207; N 44, ст. 5641; N 52, ст. 6968; 2014, N 19, ст. 2315, ст. 2335; N 23, ст. 2934; N 30, ст. 4214, ст. 4219) (далее - Федеральный закон) и Федерального закона от 10 июля 2002 г. N 86-ФЗ "О Центральном банке Российской Федерации (Банке России)" (Собрание законодательства Российской Федерации, 2002, N 28, ст. 2790; 2003, N 2, ст. 157; N 52, ст. 5032; 2004, N 27, ст. 2711; N 31, ст. 3233; 2005, N 25, ст. 2426; N 30, ст. 3101; 2006, N 19, ст. 2061; N 25, ст. 2648; 2007, N 1, ст. 9, ст. 10; N 10, ст. 1151; N 18, ст. 2117; 2008, N 42, ст. 4696, ст. 4699; N 44, ст. 4982; N 52, ст. 6229, ст. 6231; 2009, N 1, ст. 25; N 29, ст. 3629; N 48, ст. 5731; 2010, N 45, ст. 5756; 2011, N 7, ст. 907; N 27, ст. 3873; N 43, ст. 5973; N 48, ст. 6728; 2012, N 50, ст. 6954; N 53, ст. 7591, ст. 7607; 2013, N 11, ст. 1076; N 14, ст. 1649; N 19, ст. 2329; N 27, ст. 3438, ст. 3476, ст. 3477; N 30, ст. 4084; N 49, ст. 6336; N 51, ст. 6695, ст. 6699; N 52, ст. 6975; 2014, N 19, ст. 2311, ст. 2317; N 27, ст. 3634; N 30, ст. 4219; N 45, ст. 6154) Банк России устанавливает требования к подготовке и обучению кадров для профессиональных участников рынка ценных бумаг (за исключением профессиональных участников рынка ценных бумаг, являющихся кредитными организациями) (далее - профессиональные участники рынка ценных бумаг), страховых организаций (за исключением страховых медицинских организаций, осуществляющих деятельность исключительно в сфере обязательного медицинского страхования) и страховых брокеров (далее при совместном упоминании - страховые организации), управляющих компаний инвестиционных фондов, паевых инвестиционных фондов и негосударственных пенсионных фондов, имеющих лицензию на осуществление деятельности по пенсионному обеспечению и пенсионному страхованию (далее - управляющие компании), и иных организаций, осуществляющих операции с денежными средствами или иным имуществом, указанных в статье 5 Федерального закона (за исключением кредитных организаций), регулирование, контроль и надзор за которыми в соответствии с законодательством Российской Федерации осуществляет Банк России (далее при совместном упоминании - некредитные финансовые организации).</w:t>
      </w:r>
    </w:p>
    <w:p w:rsidR="009D5C43" w:rsidRDefault="009D5C43">
      <w:pPr>
        <w:pStyle w:val="ConsPlusNormal"/>
        <w:jc w:val="both"/>
      </w:pPr>
      <w:r>
        <w:t>(в ред. Указания Банка России от 24.12.2019 N 5372-У)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Title"/>
        <w:ind w:firstLine="540"/>
        <w:jc w:val="both"/>
        <w:outlineLvl w:val="0"/>
      </w:pPr>
      <w:r>
        <w:t>Глава 1. Общие положения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ind w:firstLine="540"/>
        <w:jc w:val="both"/>
      </w:pPr>
      <w:r>
        <w:t>1.1. В некредитной финансовой организации с учетом требований настоящего Указания и нормативных правовых актов Российской Федерации в области противодействия легализации (отмыванию) доходов, полученных преступным путем, и финансированию терроризма (далее - ПОД/ФТ), а также характера и особенностей ее деятельности, характера и особенностей деятельности ее клиентов должны проводиться мероприятия, направленные на подготовку и обучение сотрудников по ПОД/ФТ.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lastRenderedPageBreak/>
        <w:t>1.2. Целью обучения сотрудников некредитной финансовой организации по ПОД/ФТ является получение знаний по ПОД/ФТ, необходимых для исполнения ими законодательных актов Российской Федерации, нормативных актов Банка России и нормативных правовых актов Российской Федерации в области ПОД/ФТ, а также внутренних документов некредитной финансовой организации по ПОД/ФТ.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1.3. В случаях, предусмотренных настоящим Указанием, в некредитной финансовой организации должна быть разработана программа подготовки и обучения сотрудников некредитной финансовой организации в сфере ПОД/ФТ (далее - программа подготовки и обучения по ПОД/ФТ).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Title"/>
        <w:ind w:firstLine="540"/>
        <w:jc w:val="both"/>
        <w:outlineLvl w:val="0"/>
      </w:pPr>
      <w:r>
        <w:t>Глава 2. Требования к формированию перечня сотрудников, которые должны проходить обязательную подготовку и обучение в целях ПОД/ФТ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ind w:firstLine="540"/>
        <w:jc w:val="both"/>
      </w:pPr>
      <w:r>
        <w:t>2.1. В некредитной финансовой организации должен быть определен перечень сотрудников, которые должны проходить обязательную подготовку и обучение в целях ПОД/ФТ (далее - Перечень).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Перечень утверждается руководителем некредитной финансовой организации.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1" w:name="P28"/>
      <w:bookmarkEnd w:id="1"/>
      <w:r>
        <w:t>2.2. В Перечень включаются следующие сотрудники (при наличии соответствующих должностей в штате некредитной финансовой организации или индивидуального предпринимателя, являющегося страховым брокером):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2" w:name="P29"/>
      <w:bookmarkEnd w:id="2"/>
      <w:r>
        <w:t>а) руководитель некредитной финансовой организации;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3" w:name="P30"/>
      <w:bookmarkEnd w:id="3"/>
      <w:r>
        <w:t>б) руководитель филиала некредитной финансовой организации;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в) заместитель руководителя некредитной финансовой организации (филиала), курирующий в соответствии с письменно оформленным распределением обязанностей вопросы организации и осуществления внутреннего контроля в целях ПОД/ФТ;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4" w:name="P32"/>
      <w:bookmarkEnd w:id="4"/>
      <w:r>
        <w:t>г) главный бухгалтер (бухгалтер) некредитной финансовой организации (филиала) либо сотрудник, осуществляющий функции по ведению бухгалтерского учета;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д) специальное должностное лицо, ответственное за реализацию правил внутреннего контроля в целях ПОД/ФТ в некредитной финансовой организации, либо работник страхового брокера, являющегося индивидуальным предпринимателем, осуществляющий функции ответственного сотрудника по ПОД/ФТ (далее - ответственный сотрудник);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5" w:name="P34"/>
      <w:bookmarkEnd w:id="5"/>
      <w:r>
        <w:t>е) сотрудники структурного подразделения по ПОД/ФТ, в случае формирования такого структурного подразделения под руководством ответственного сотрудника;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ж) контролер;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6" w:name="P36"/>
      <w:bookmarkEnd w:id="6"/>
      <w:r>
        <w:t>з) сотрудники службы внутреннего контроля некредитной финансовой организации (филиала);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7" w:name="P37"/>
      <w:bookmarkEnd w:id="7"/>
      <w:r>
        <w:t>и) руководитель юридического подразделения некредитной финансовой организации (филиала) либо юрист некредитной финансовой организации;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к) руководитель службы безопасности некредитной финансовой организации (филиала);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л) иные сотрудники некредитной финансовой организации (филиала) по усмотрению ее руководителя с учетом особенностей деятельности некредитной финансовой организации (филиала) и деятельности ее клиентов.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8" w:name="P40"/>
      <w:bookmarkEnd w:id="8"/>
      <w:r>
        <w:lastRenderedPageBreak/>
        <w:t>2.3. Профессиональным участником рынка ценных бумаг, в дополнение к сотрудникам, указанным в пункте 2.2 настоящего Указания, в Перечень включаются следующие сотрудники (при наличии соответствующих должностей в штате организации):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а) руководитель и заместитель руководителя структурного подразделения профессионального участника рынка ценных бумаг (филиала), которое осуществляет профессиональную деятельность на финансовом рынке;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б) сотрудники профессионального участника рынка ценных бумаг (филиала), которые в соответствии с должностными обязанностями выполняют хотя бы одну из следующих функций: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совершение сделок с ценными бумагами, в том числе от имени профессионального участника рынка ценных бумаг и за счет профессионального участника рынка ценных бумаг, от имени клиентов и за счет клиентов, от имени профессионального участника рынка ценных бумаг и за счет клиентов;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совершение сделок и (или) операций с денежными средствами и (или) ценными бумагами в интересах учредителя управления;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ведение внутреннего учета операций с ценными бумагами;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проведение операций, связанных с переходом права собственности на ценные бумаги по счетам депо клиентов;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проведение операций, связанных с переходом права собственности на ценные бумаги по лицевым счетам зарегистрированных лиц.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2.4. Управляющей компанией в дополнение к сотрудникам, указанным в пункте 2.2 настоящего Указания, в Перечень включаются следующие сотрудники (при наличии соответствующих должностей в штате организации):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а) руководитель и заместитель руководителя структурного подразделения управляющей компании (филиала), которое осуществляет деятельность на финансовом рынке;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б) сотрудники управляющей компании (филиала), которые в соответствии с должностными обязанностями выполняют хотя бы одну из следующих функций: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совершение сделок и (или) операций с денежными средствами и (или) ценными бумагами в интересах учредителя управления;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подписание исходящих документов управляющей компании (филиала), касающихся осуществления операций, связанных с управлением ипотечным покрытием;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подписание исходящих документов управляющей компании (филиала), касающихся осуществления операций, связанных с управлением инвестиционными резервами акционерного инвестиционного фонда, имуществом, составляющим паевой инвестиционный фонд, средствами пенсионных резервов негосударственного пенсионного фонда или имуществом, в которое инвестированы средства пенсионных накоплений или накопления для жилищного обеспечения военнослужащих;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подписание исходящих документов управляющей компании (филиала), касающихся осуществления операций, связанных с управлением ценными бумагами, принадлежащими акционерному инвестиционному фонду, ценными бумагами в составе имущества, составляющего паевой инвестиционный фонд, или ценными бумагами, в которые размещены средства пенсионных резервов негосударственного пенсионного фонда или инвестированы средства пенсионных накоплений или накопления для жилищного обеспечения военнослужащих.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lastRenderedPageBreak/>
        <w:t>2.5. Страховой организацией в дополнение к сотрудникам, указанным в пункте 2.2 настоящего Указания, в Перечень включаются следующие сотрудники (при наличии соответствующих должностей в штате организации или индивидуального предпринимателя, являющегося страховым брокером):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а) руководитель и заместитель руководителя структурного подразделения страховой организации (филиала), осуществляющего функции, связанные со страховой деятельностью;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б) сотрудники службы внутреннего аудита страховой организации (филиала);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в) сотрудники страховой организации (филиала), которые в соответствии с должностными обязанностями выполняют хотя бы одну из следующих функций: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заключение договоров страхования;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совершение сделок и (или) операций со страховыми резервами и (или) собственными средствами (капиталом).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9" w:name="P61"/>
      <w:bookmarkEnd w:id="9"/>
      <w:r>
        <w:t>2.6. Негосударственным пенсионным фондом в дополнение к сотрудникам, указанным в пункте 2.2 настоящего Указания, в Перечень включаются следующие сотрудники (при наличии соответствующих должностей в штате организации):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а) руководитель и заместитель руководителя структурного подразделения негосударственного пенсионного фонда (филиала), которое осуществляет деятельность на финансовом рынке;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б) сотрудники негосударственного пенсионного фонда (филиала), которые в соответствии с должностными обязанностями выполняют хотя бы одну из следующих функций: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совершение сделок и (или) операций с пенсионными резервами и (или) пенсионными накоплениями;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совершение операций по выплате и (или) переводу денежных средств по негосударственному пенсионному обеспечению, в том числе по досрочному негосударственному пенсионному обеспечению, обязательному пенсионному страхованию.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 xml:space="preserve">2.7. Кредитным потребительским кооперативом, в том числе сельскохозяйственным кредитным потребительским кооперативом, и </w:t>
      </w:r>
      <w:proofErr w:type="spellStart"/>
      <w:r>
        <w:t>микрофинансовой</w:t>
      </w:r>
      <w:proofErr w:type="spellEnd"/>
      <w:r>
        <w:t xml:space="preserve"> организацией в дополнение к сотрудникам, указанным в пункте 2.2 настоящего Указания, в Перечень включаются сотрудники (при наличии соответствующих должностей в штате организации), выполняющие функции по привлечению денежных средств от физических и юридических лиц.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Title"/>
        <w:ind w:firstLine="540"/>
        <w:jc w:val="both"/>
        <w:outlineLvl w:val="0"/>
      </w:pPr>
      <w:r>
        <w:t>Глава 3. Формы и сроки обучения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ind w:firstLine="540"/>
        <w:jc w:val="both"/>
      </w:pPr>
      <w:r>
        <w:t>3.1. Обучение в некредитных финансовых организациях проводится в следующих формах: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вводный (первичный) инструктаж;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целевой (внеплановый) инструктаж;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повышение квалификации (плановый инструктаж).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 xml:space="preserve">3.2. Вводный (первичный) инструктаж проводится в целях ознакомления сотрудников некредитной финансовой организации с законодательными актами Российской Федерации, нормативными актами Банка России, нормативными правовыми и иными актами Российской Федерации в области ПОД/ФТ, а также внутренними документами по ПОД/ФТ некредитной </w:t>
      </w:r>
      <w:r>
        <w:lastRenderedPageBreak/>
        <w:t>финансовой организации.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Вводный (первичный) инструктаж проводится однократно ответственным сотрудником в течение одного месяца со дня приема сотрудника на работу на должности, указанные в подпунктах "а" - "г" и "е" - "и" пункта 2.2 и пунктах 2.3 - 2.6 настоящего Указания, либо для выполнения функций, указанных в пунктах 2.3 - 2.6 настоящего Указания, а также со дня перевода на такие должности либо для выполнения таких функций.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3.3. Целевой (внеплановый) инструктаж сотрудники некредитной финансовой организации проходят в целях получения знаний, необходимых для соблюдения ими законодательных актов Российской Федерации, нормативных актов Банка России, нормативных правовых и иных актов Российской Федерации в области ПОД/ФТ, а также формирования и совершенствования системы внутреннего контроля некредитных финансовых организаций, программ его осуществления и внутренних документов некредитной финансовой организации, принятых в целях ПОД/ФТ.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Обучение в форме целевого (внепланового) инструктажа должны пройти: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лицо, планирующее осуществлять функции ответственного должностного лица, до начала осуществления таких функций;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лица, указанные в подпунктах "а" и "б" пункта 2.2 настоящего Указания, до назначения на соответствующую должность;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индивидуальный предприниматель, являющийся страховым брокером, до начала осуществления деятельности по оказанию услуг страхового брокера;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сотрудники, указанные в подпунктах "е" и "з" пункта 2.2 и в пунктах 2.3 - 2.6 настоящего Указания, в течение года со дня назначения на соответствующие должности либо возложения на них соответствующих должностных обязанностей.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3.4. Целевой (внеплановый) инструктаж сотрудников некредитной финансовой организации, указанных в настоящем Указании, проводится ответственным сотрудником в следующих случаях: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10" w:name="P83"/>
      <w:bookmarkEnd w:id="10"/>
      <w:r>
        <w:t>при изменении действующих и вступлении в силу новых законодательных актов Российской Федерации, нормативных актов Банка России, нормативных правовых и иных актов Российской Федерации в области ПОД/ФТ, в части вопросов, относящихся к соответствующим сферам деятельности некредитных финансовых организаций, не позднее трех рабочих дней с даты вступления в силу соответствующих актов;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11" w:name="P84"/>
      <w:bookmarkEnd w:id="11"/>
      <w:r>
        <w:t>при утверждении некредитной финансовой организацией новых или изменении действующих правил внутреннего контроля в целях ПОД/ФТ и программ его осуществления, не позднее десяти рабочих дней с даты утверждения или изменения указанных документов;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12" w:name="P85"/>
      <w:bookmarkEnd w:id="12"/>
      <w:r>
        <w:t xml:space="preserve">при переводе сотрудника на другую постоянную работу (временную работу) в рамках некредитной финансовой организации, предусматривающую выполнение функций, отличных от выполняемых им до такого перевода, в </w:t>
      </w:r>
      <w:proofErr w:type="gramStart"/>
      <w:r>
        <w:t>случае</w:t>
      </w:r>
      <w:proofErr w:type="gramEnd"/>
      <w:r>
        <w:t xml:space="preserve"> когда для обеспечения соблюдения законодательства Российской Федерации в области ПОД/ФТ при выполнении сотрудником новых функций требуется проведение целевого (внепланового) инструктажа;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13" w:name="P86"/>
      <w:bookmarkEnd w:id="13"/>
      <w:r>
        <w:t>при поручении сотруднику некредитной финансовой организации работы, выполняемой сотрудниками некредитной финансовой организации, указанными в пунктах 2.2 - 2.6 настоящего Указания, и не обусловленной заключенным с ним трудовым договором, когда выполнение такой работы не влечет за собой изменения условий такого договора.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 случаях, указанных в абзацах четвертом и пятом настоящего пункта, инструктаж проводится не позднее десяти рабочих дней со дня наступления соответствующего случая.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lastRenderedPageBreak/>
        <w:t>Для лиц, подлежащих обучению в соответствии с требованиями настоящего Указания и отсутствующих на рабочем месте в связи с отпуском, служебной командировкой либо временной нетрудоспособностью, установленный абзацами вторым и третьим настоящего пункта срок начинает исчисляться с рабочего дня, следующего за днем окончания отпуска, служебной командировки либо периода временной нетрудоспособности.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3.5. Повышение квалификации (плановый инструктаж) осуществляется в форме участия в семинарах и иных обучающих мероприятиях.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Ответственные сотрудники некредитных финансовых организаций проходят повышение квалификации (плановый инструктаж) не реже одного раза в календарный год.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Включенные в Перечень сотрудники страховых организаций и профессиональных участников рынка ценных бумаг проходят повышение квалификации (плановый инструктаж) не реже одного раза в календарный год.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Иные сотрудники некредитных финансовых организаций, включенные в Перечень, проходят повышение квалификации (плановый инструктаж) не реже одного раза в два календарных года.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3.6. Вводный (первичный) и целевой (внеплановый) инструктаж сотрудников некредитных финансовых организаций, за исключением страховых брокеров, являющихся индивидуальными предпринимателями и не имеющих работников, с которыми заключены трудовые договоры, проводятся в соответствии с программой подготовки и обучения по ПОД/ФТ, разработанной некредитной финансовой организацией в соответствии с настоящим Указанием.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3.7. Обучение сотрудников некредитных финансовых организаций в форме целевого (внепланового) инструктажа и повышения квалификации (планового инструктажа) осуществляется самой организацией и (или) с привлечением сторонних организаций.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Title"/>
        <w:ind w:firstLine="540"/>
        <w:jc w:val="both"/>
        <w:outlineLvl w:val="0"/>
      </w:pPr>
      <w:r>
        <w:t>Глава 4. Программа подготовки и обучения по ПОД/ФТ и учет прохождения сотрудниками обучения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ind w:firstLine="540"/>
        <w:jc w:val="both"/>
      </w:pPr>
      <w:r>
        <w:t xml:space="preserve">4.1. </w:t>
      </w:r>
      <w:proofErr w:type="spellStart"/>
      <w:r>
        <w:t>Некредитная</w:t>
      </w:r>
      <w:proofErr w:type="spellEnd"/>
      <w:r>
        <w:t xml:space="preserve"> финансовая организация, за исключением страхового брокера, являющегося индивидуальным предпринимателем и не имеющего работников, с которыми заключены трудовые договоры, разрабатывает программу подготовки и обучения по ПОД/ФТ.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Программа подготовки и обучения по ПОД/ФТ утверждается руководителем некредитной финансовой организации.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4.2. Программа подготовки и обучения по ПОД/ФТ должна предусматривать: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а) изучение законодательных актов Российской Федерации, нормативных актов Банка России и иных нормативных правовых актов Российской Федерации в области ПОД/ФТ;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б) изучение правил и программ осуществления внутреннего контроля в некредитной финансовой организации при исполнении сотрудником должностных обязанностей, а также мер ответственности, которые могут быть применены к сотруднику некредитной финансовой организации за неисполнение законодательных актов Российской Федерации, нормативных актов Банка России, иных нормативных правовых актов Российской Федерации в области ПОД/ФТ и внутренних документов некредитной финансовой организации, принятых в целях организации и осуществления внутреннего контроля;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в) изучение типологий, характерных схем и способов отмывания преступных доходов и финансирования терроризма, а также критериев выявления и признаков необычных сделок;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г) проверку знаний сотрудников некредитной финансовой организации по ПОД/ФТ.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lastRenderedPageBreak/>
        <w:t>4.3. Программа подготовки и обучения по ПОД/ФТ должна на периодической основе (не реже одного раз в год) подвергаться анализу ответственным сотрудником.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4.4. В некредитных финансовых организациях первичная проверка знаний сотрудников некредитной финансовой организации по ПОД/ФТ проводится по истечении одного месяца с даты проведения вводного (первичного) инструктажа.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Форма и порядок проведения проверки знаний сотрудников некредитной финансовой организации по ПОД/ФТ определяются некредитной финансовой организацией самостоятельно.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4.5. В некредитной финансовой организации должен осуществляться учет прохождения ее сотрудниками обучения.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Порядок ведения такого учета устанавливается руководителем некредитной финансовой организации.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 xml:space="preserve">Факт проведения с сотрудником некредитной финансовой организации вводного (первичного) и целевого (внепланового) инструктажа должен быть подтвержден его собственноручной подписью в документе, форму и содержание которого </w:t>
      </w:r>
      <w:proofErr w:type="spellStart"/>
      <w:r>
        <w:t>некредитная</w:t>
      </w:r>
      <w:proofErr w:type="spellEnd"/>
      <w:r>
        <w:t xml:space="preserve"> финансовая организация устанавливает самостоятельно.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4.6. Документы (либо их копии), свидетельствующие о прохождении сотрудником некредитной финансовой организации обучения по ПОД/ФТ, хранятся в личном деле сотрудника в течение всего времени его работы в некредитной финансовой организации. Допускается хранение указанных документов в электронном виде.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Title"/>
        <w:ind w:firstLine="540"/>
        <w:jc w:val="both"/>
        <w:outlineLvl w:val="0"/>
      </w:pPr>
      <w:r>
        <w:t>Глава 5. Заключительные положения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ind w:firstLine="540"/>
        <w:jc w:val="both"/>
      </w:pPr>
      <w:r>
        <w:t>5.1. Настоящее Указание вступает в силу по истечении 10 дней после дня его официального опубликования в "Вестнике Банка России".</w:t>
      </w:r>
    </w:p>
    <w:p w:rsidR="009D5C43" w:rsidRDefault="009D5C43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5.2. Лица, замещающие на день вступления в силу настоящего Указания должности, указанные в подпунктах "а" - "г" и "е" - "и" пункта 2.2 и пунктах 2.3 - 2.6 настоящего Указания, либо выполняющие функции, указанные в пунктах 2.3 - 2.6 настоящего Указания, и не прошедшие вводный (первичный) инструктаж до этого дня, должны пройти однократное обучение в форме вводного (первичного) инструктажа в течение одного месяца со дня вступления в силу настоящего Указания.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Для лиц, подлежащих обучению в соответствии с требованиями настоящего Указания и отсутствующих на день вступления в силу настоящего Указания на рабочем месте в связи с отпуском, служебной командировкой либо временной нетрудоспособностью, установленный абзацем первым настоящего пункта срок начинает исчисляться с рабочего дня, следующего за днем окончания отпуска, служебной командировки либо периода временной нетрудоспособности.</w:t>
      </w:r>
    </w:p>
    <w:p w:rsidR="009D5C43" w:rsidRDefault="009D5C43">
      <w:pPr>
        <w:pStyle w:val="ConsPlusNormal"/>
        <w:spacing w:before="220"/>
        <w:ind w:firstLine="540"/>
        <w:jc w:val="both"/>
      </w:pPr>
      <w:r>
        <w:t>5.3. Некредитные финансовые организации в течение трех месяцев со дня вступления в силу настоящего Указания обязаны привести свои внутренние документы в соответствие с требованиями настоящего Указания.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jc w:val="right"/>
      </w:pPr>
      <w:r>
        <w:t>Председатель Центрального банка</w:t>
      </w:r>
    </w:p>
    <w:p w:rsidR="009D5C43" w:rsidRDefault="009D5C43">
      <w:pPr>
        <w:pStyle w:val="ConsPlusNormal"/>
        <w:jc w:val="right"/>
      </w:pPr>
      <w:r>
        <w:t>Российской Федерации</w:t>
      </w:r>
    </w:p>
    <w:p w:rsidR="009D5C43" w:rsidRDefault="009D5C43">
      <w:pPr>
        <w:pStyle w:val="ConsPlusNormal"/>
        <w:jc w:val="right"/>
      </w:pPr>
      <w:r>
        <w:t>Э.С.НАБИУЛЛИНА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jc w:val="right"/>
      </w:pPr>
      <w:r>
        <w:t>Согласовано</w:t>
      </w:r>
    </w:p>
    <w:p w:rsidR="009D5C43" w:rsidRDefault="009D5C43">
      <w:pPr>
        <w:pStyle w:val="ConsPlusNormal"/>
        <w:jc w:val="right"/>
      </w:pPr>
      <w:r>
        <w:t>Директор Федеральной службы</w:t>
      </w:r>
    </w:p>
    <w:p w:rsidR="009D5C43" w:rsidRDefault="009D5C43">
      <w:pPr>
        <w:pStyle w:val="ConsPlusNormal"/>
        <w:jc w:val="right"/>
      </w:pPr>
      <w:r>
        <w:t>по финансовому мониторингу</w:t>
      </w:r>
    </w:p>
    <w:p w:rsidR="009D5C43" w:rsidRDefault="009D5C43">
      <w:pPr>
        <w:pStyle w:val="ConsPlusNormal"/>
        <w:jc w:val="right"/>
      </w:pPr>
      <w:r>
        <w:lastRenderedPageBreak/>
        <w:t>Ю.А.ЧИХАНЧИН</w:t>
      </w: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jc w:val="both"/>
      </w:pPr>
    </w:p>
    <w:p w:rsidR="009D5C43" w:rsidRDefault="009D5C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704" w:rsidRDefault="009D5C43"/>
    <w:sectPr w:rsidR="00547704" w:rsidSect="0039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43"/>
    <w:rsid w:val="009D5C43"/>
    <w:rsid w:val="00A243B7"/>
    <w:rsid w:val="00D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2AFB-FE14-4E4C-8535-FA6C852D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Наталья</dc:creator>
  <cp:keywords/>
  <dc:description/>
  <cp:lastModifiedBy>Марченко Наталья</cp:lastModifiedBy>
  <cp:revision>1</cp:revision>
  <dcterms:created xsi:type="dcterms:W3CDTF">2020-09-03T12:00:00Z</dcterms:created>
  <dcterms:modified xsi:type="dcterms:W3CDTF">2020-09-03T12:00:00Z</dcterms:modified>
</cp:coreProperties>
</file>